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7A" w:rsidRPr="006A1C7A" w:rsidRDefault="006A1C7A" w:rsidP="006A1C7A">
      <w:pPr>
        <w:numPr>
          <w:ilvl w:val="0"/>
          <w:numId w:val="6"/>
        </w:numPr>
        <w:tabs>
          <w:tab w:val="clear" w:pos="720"/>
          <w:tab w:val="num" w:pos="360"/>
        </w:tabs>
        <w:spacing w:before="240"/>
        <w:ind w:left="360"/>
        <w:jc w:val="both"/>
        <w:rPr>
          <w:rFonts w:ascii="Arial" w:hAnsi="Arial" w:cs="Arial"/>
          <w:sz w:val="22"/>
          <w:szCs w:val="22"/>
        </w:rPr>
      </w:pPr>
      <w:bookmarkStart w:id="0" w:name="_GoBack"/>
      <w:bookmarkEnd w:id="0"/>
      <w:r w:rsidRPr="006A1C7A">
        <w:rPr>
          <w:rFonts w:ascii="Arial" w:hAnsi="Arial" w:cs="Arial"/>
          <w:sz w:val="22"/>
          <w:szCs w:val="22"/>
        </w:rPr>
        <w:t xml:space="preserve">The Attorney-General and Minister for Justice and Minister Assisting the Premier in </w:t>
      </w:r>
      <w:smartTag w:uri="urn:schemas-microsoft-com:office:smarttags" w:element="place">
        <w:r w:rsidRPr="006A1C7A">
          <w:rPr>
            <w:rFonts w:ascii="Arial" w:hAnsi="Arial" w:cs="Arial"/>
            <w:sz w:val="22"/>
            <w:szCs w:val="22"/>
          </w:rPr>
          <w:t>Western Queensland</w:t>
        </w:r>
      </w:smartTag>
      <w:r w:rsidRPr="006A1C7A">
        <w:rPr>
          <w:rFonts w:ascii="Arial" w:hAnsi="Arial" w:cs="Arial"/>
          <w:sz w:val="22"/>
          <w:szCs w:val="22"/>
        </w:rPr>
        <w:t xml:space="preserve"> is responsible for the administration of approximately 190 Acts.  Periodically, these Acts are examined to identify minor amendments which can be made to ensure that the Acts continue to operate in the manner intended. </w:t>
      </w:r>
    </w:p>
    <w:p w:rsidR="006A1C7A" w:rsidRPr="006A1C7A" w:rsidRDefault="006A1C7A" w:rsidP="00C07656">
      <w:pPr>
        <w:numPr>
          <w:ilvl w:val="0"/>
          <w:numId w:val="6"/>
        </w:numPr>
        <w:tabs>
          <w:tab w:val="clear" w:pos="720"/>
          <w:tab w:val="num" w:pos="360"/>
        </w:tabs>
        <w:spacing w:before="240"/>
        <w:ind w:left="360"/>
        <w:jc w:val="both"/>
        <w:rPr>
          <w:rFonts w:ascii="Arial" w:hAnsi="Arial" w:cs="Arial"/>
          <w:bCs/>
          <w:spacing w:val="-3"/>
          <w:sz w:val="22"/>
          <w:szCs w:val="22"/>
        </w:rPr>
      </w:pPr>
      <w:r w:rsidRPr="006A1C7A">
        <w:rPr>
          <w:rFonts w:ascii="Arial" w:hAnsi="Arial" w:cs="Arial"/>
          <w:sz w:val="22"/>
          <w:szCs w:val="22"/>
        </w:rPr>
        <w:t xml:space="preserve">The </w:t>
      </w:r>
      <w:r w:rsidR="00334AB3" w:rsidRPr="00334AB3">
        <w:rPr>
          <w:rFonts w:ascii="Arial" w:hAnsi="Arial" w:cs="Arial"/>
          <w:sz w:val="22"/>
          <w:szCs w:val="22"/>
        </w:rPr>
        <w:t>Justice and Other Legislation Amendment Bill 2008</w:t>
      </w:r>
      <w:r w:rsidR="00334AB3">
        <w:rPr>
          <w:rFonts w:ascii="Arial" w:hAnsi="Arial" w:cs="Arial"/>
          <w:sz w:val="22"/>
          <w:szCs w:val="22"/>
        </w:rPr>
        <w:t xml:space="preserve"> includes </w:t>
      </w:r>
      <w:r w:rsidR="002D6D53">
        <w:rPr>
          <w:rFonts w:ascii="Arial" w:hAnsi="Arial" w:cs="Arial"/>
          <w:sz w:val="22"/>
          <w:szCs w:val="22"/>
        </w:rPr>
        <w:t xml:space="preserve">such </w:t>
      </w:r>
      <w:r w:rsidR="00334AB3">
        <w:rPr>
          <w:rFonts w:ascii="Arial" w:hAnsi="Arial" w:cs="Arial"/>
          <w:sz w:val="22"/>
          <w:szCs w:val="22"/>
        </w:rPr>
        <w:t xml:space="preserve">minor amendments </w:t>
      </w:r>
      <w:r w:rsidR="002D6D53">
        <w:rPr>
          <w:rFonts w:ascii="Arial" w:hAnsi="Arial" w:cs="Arial"/>
          <w:sz w:val="22"/>
          <w:szCs w:val="22"/>
        </w:rPr>
        <w:t>for</w:t>
      </w:r>
      <w:r w:rsidR="00334AB3">
        <w:rPr>
          <w:rFonts w:ascii="Arial" w:hAnsi="Arial" w:cs="Arial"/>
          <w:sz w:val="22"/>
          <w:szCs w:val="22"/>
        </w:rPr>
        <w:t xml:space="preserve"> 22 Acts.</w:t>
      </w:r>
    </w:p>
    <w:p w:rsidR="006A1C7A" w:rsidRPr="006A1C7A" w:rsidRDefault="006A1C7A" w:rsidP="006A1C7A">
      <w:pPr>
        <w:numPr>
          <w:ilvl w:val="0"/>
          <w:numId w:val="6"/>
        </w:numPr>
        <w:tabs>
          <w:tab w:val="clear" w:pos="720"/>
          <w:tab w:val="num" w:pos="360"/>
        </w:tabs>
        <w:spacing w:before="240"/>
        <w:ind w:left="360"/>
        <w:jc w:val="both"/>
        <w:rPr>
          <w:rFonts w:ascii="Arial" w:hAnsi="Arial" w:cs="Arial"/>
          <w:sz w:val="22"/>
          <w:szCs w:val="22"/>
        </w:rPr>
      </w:pPr>
      <w:r w:rsidRPr="006A1C7A">
        <w:rPr>
          <w:rFonts w:ascii="Arial" w:hAnsi="Arial" w:cs="Arial"/>
          <w:sz w:val="22"/>
          <w:szCs w:val="22"/>
        </w:rPr>
        <w:t>The Bill will also:</w:t>
      </w:r>
    </w:p>
    <w:p w:rsidR="006A1C7A" w:rsidRPr="006A1C7A" w:rsidRDefault="006A1C7A" w:rsidP="006A1C7A">
      <w:pPr>
        <w:numPr>
          <w:ilvl w:val="0"/>
          <w:numId w:val="13"/>
        </w:numPr>
        <w:tabs>
          <w:tab w:val="num" w:pos="360"/>
        </w:tabs>
        <w:spacing w:before="240"/>
        <w:jc w:val="both"/>
        <w:rPr>
          <w:rFonts w:ascii="Arial" w:hAnsi="Arial" w:cs="Arial"/>
          <w:sz w:val="22"/>
          <w:szCs w:val="22"/>
        </w:rPr>
      </w:pPr>
      <w:r w:rsidRPr="006A1C7A">
        <w:rPr>
          <w:rFonts w:ascii="Arial" w:hAnsi="Arial" w:cs="Arial"/>
          <w:sz w:val="22"/>
          <w:szCs w:val="22"/>
        </w:rPr>
        <w:t xml:space="preserve">make minor amendments to the </w:t>
      </w:r>
      <w:r w:rsidRPr="006A1C7A">
        <w:rPr>
          <w:rFonts w:ascii="Arial" w:hAnsi="Arial" w:cs="Arial"/>
          <w:i/>
          <w:sz w:val="22"/>
          <w:szCs w:val="22"/>
        </w:rPr>
        <w:t>Juvenile Justice Act 1992</w:t>
      </w:r>
      <w:r w:rsidRPr="006A1C7A">
        <w:rPr>
          <w:rFonts w:ascii="Arial" w:hAnsi="Arial" w:cs="Arial"/>
          <w:sz w:val="22"/>
          <w:szCs w:val="22"/>
        </w:rPr>
        <w:t xml:space="preserve"> and the </w:t>
      </w:r>
      <w:r w:rsidRPr="006A1C7A">
        <w:rPr>
          <w:rFonts w:ascii="Arial" w:hAnsi="Arial" w:cs="Arial"/>
          <w:i/>
          <w:sz w:val="22"/>
          <w:szCs w:val="22"/>
        </w:rPr>
        <w:t>Domestic and</w:t>
      </w:r>
      <w:r w:rsidRPr="006A1C7A">
        <w:rPr>
          <w:rFonts w:ascii="Arial" w:hAnsi="Arial" w:cs="Arial"/>
          <w:sz w:val="22"/>
          <w:szCs w:val="22"/>
        </w:rPr>
        <w:t xml:space="preserve"> </w:t>
      </w:r>
      <w:r w:rsidRPr="006A1C7A">
        <w:rPr>
          <w:rFonts w:ascii="Arial" w:hAnsi="Arial" w:cs="Arial"/>
          <w:i/>
          <w:sz w:val="22"/>
          <w:szCs w:val="22"/>
        </w:rPr>
        <w:t>Family Violence Protection Act 1989</w:t>
      </w:r>
      <w:r w:rsidRPr="006A1C7A">
        <w:rPr>
          <w:rFonts w:ascii="Arial" w:hAnsi="Arial" w:cs="Arial"/>
          <w:sz w:val="22"/>
          <w:szCs w:val="22"/>
        </w:rPr>
        <w:t xml:space="preserve"> which are administered by the Minister for Communities, Minister for Aboriginal and Torres Strait Islander Partnerships, Minister for </w:t>
      </w:r>
      <w:r w:rsidR="00970B60">
        <w:rPr>
          <w:rFonts w:ascii="Arial" w:hAnsi="Arial" w:cs="Arial"/>
          <w:sz w:val="22"/>
          <w:szCs w:val="22"/>
        </w:rPr>
        <w:t xml:space="preserve">Multicultural Affairs, </w:t>
      </w:r>
      <w:r w:rsidRPr="006A1C7A">
        <w:rPr>
          <w:rFonts w:ascii="Arial" w:hAnsi="Arial" w:cs="Arial"/>
          <w:sz w:val="22"/>
          <w:szCs w:val="22"/>
        </w:rPr>
        <w:t>Seniors and Youth</w:t>
      </w:r>
      <w:r w:rsidR="002D6D53">
        <w:rPr>
          <w:rFonts w:ascii="Arial" w:hAnsi="Arial" w:cs="Arial"/>
          <w:sz w:val="22"/>
          <w:szCs w:val="22"/>
        </w:rPr>
        <w:t>;</w:t>
      </w:r>
    </w:p>
    <w:p w:rsidR="006A1C7A" w:rsidRPr="006A1C7A" w:rsidRDefault="006A1C7A" w:rsidP="00334AB3">
      <w:pPr>
        <w:numPr>
          <w:ilvl w:val="0"/>
          <w:numId w:val="13"/>
        </w:numPr>
        <w:spacing w:before="240"/>
        <w:jc w:val="both"/>
        <w:rPr>
          <w:rFonts w:ascii="Arial" w:hAnsi="Arial" w:cs="Arial"/>
          <w:sz w:val="22"/>
          <w:szCs w:val="22"/>
        </w:rPr>
      </w:pPr>
      <w:r w:rsidRPr="006A1C7A">
        <w:rPr>
          <w:rFonts w:ascii="Arial" w:hAnsi="Arial" w:cs="Arial"/>
          <w:sz w:val="22"/>
          <w:szCs w:val="22"/>
        </w:rPr>
        <w:t xml:space="preserve">amend the </w:t>
      </w:r>
      <w:r w:rsidRPr="006A1C7A">
        <w:rPr>
          <w:rFonts w:ascii="Arial" w:hAnsi="Arial" w:cs="Arial"/>
          <w:i/>
          <w:sz w:val="22"/>
          <w:szCs w:val="22"/>
        </w:rPr>
        <w:t>Financial Transaction Reports Act 1992</w:t>
      </w:r>
      <w:r w:rsidRPr="006A1C7A">
        <w:rPr>
          <w:rFonts w:ascii="Arial" w:hAnsi="Arial" w:cs="Arial"/>
          <w:sz w:val="22"/>
          <w:szCs w:val="22"/>
        </w:rPr>
        <w:t xml:space="preserve"> to ensure that Queensland’s law enforcement agencies, the Queensland Police Service and the Crime and Misconduct Commission, can request information about financial transactions reported under new Commonwealth legislation;</w:t>
      </w:r>
    </w:p>
    <w:p w:rsidR="006A1C7A" w:rsidRPr="006A1C7A" w:rsidRDefault="006A1C7A" w:rsidP="00334AB3">
      <w:pPr>
        <w:numPr>
          <w:ilvl w:val="0"/>
          <w:numId w:val="13"/>
        </w:numPr>
        <w:spacing w:before="240"/>
        <w:jc w:val="both"/>
        <w:rPr>
          <w:rFonts w:ascii="Arial" w:hAnsi="Arial" w:cs="Arial"/>
          <w:sz w:val="22"/>
          <w:szCs w:val="22"/>
        </w:rPr>
      </w:pPr>
      <w:r w:rsidRPr="006A1C7A">
        <w:rPr>
          <w:rFonts w:ascii="Arial" w:hAnsi="Arial" w:cs="Arial"/>
          <w:sz w:val="22"/>
          <w:szCs w:val="22"/>
        </w:rPr>
        <w:t xml:space="preserve">amend the </w:t>
      </w:r>
      <w:r w:rsidRPr="006A1C7A">
        <w:rPr>
          <w:rFonts w:ascii="Arial" w:hAnsi="Arial" w:cs="Arial"/>
          <w:i/>
          <w:sz w:val="22"/>
          <w:szCs w:val="22"/>
        </w:rPr>
        <w:t>Judges</w:t>
      </w:r>
      <w:r w:rsidRPr="006A1C7A">
        <w:rPr>
          <w:rFonts w:ascii="Arial" w:hAnsi="Arial" w:cs="Arial"/>
          <w:sz w:val="22"/>
          <w:szCs w:val="22"/>
        </w:rPr>
        <w:t xml:space="preserve"> </w:t>
      </w:r>
      <w:r w:rsidRPr="006A1C7A">
        <w:rPr>
          <w:rFonts w:ascii="Arial" w:hAnsi="Arial" w:cs="Arial"/>
          <w:i/>
          <w:iCs/>
          <w:sz w:val="22"/>
          <w:szCs w:val="22"/>
        </w:rPr>
        <w:t>(Pensions and Long Leave) Act 1957</w:t>
      </w:r>
      <w:r w:rsidRPr="006A1C7A">
        <w:rPr>
          <w:rFonts w:ascii="Arial" w:hAnsi="Arial" w:cs="Arial"/>
          <w:iCs/>
          <w:sz w:val="22"/>
          <w:szCs w:val="22"/>
        </w:rPr>
        <w:t xml:space="preserve">, </w:t>
      </w:r>
      <w:r w:rsidRPr="006A1C7A">
        <w:rPr>
          <w:rFonts w:ascii="Arial" w:hAnsi="Arial" w:cs="Arial"/>
          <w:i/>
          <w:iCs/>
          <w:sz w:val="22"/>
          <w:szCs w:val="22"/>
        </w:rPr>
        <w:t>District Court of Queensland Act 1967</w:t>
      </w:r>
      <w:r w:rsidRPr="006A1C7A">
        <w:rPr>
          <w:rFonts w:ascii="Arial" w:hAnsi="Arial" w:cs="Arial"/>
          <w:iCs/>
          <w:sz w:val="22"/>
          <w:szCs w:val="22"/>
        </w:rPr>
        <w:t xml:space="preserve">, </w:t>
      </w:r>
      <w:r w:rsidRPr="006A1C7A">
        <w:rPr>
          <w:rFonts w:ascii="Arial" w:hAnsi="Arial" w:cs="Arial"/>
          <w:i/>
          <w:iCs/>
          <w:sz w:val="22"/>
          <w:szCs w:val="22"/>
        </w:rPr>
        <w:t>Industrial Relations Act 1999</w:t>
      </w:r>
      <w:r w:rsidRPr="006A1C7A">
        <w:rPr>
          <w:rFonts w:ascii="Arial" w:hAnsi="Arial" w:cs="Arial"/>
          <w:iCs/>
          <w:sz w:val="22"/>
          <w:szCs w:val="22"/>
        </w:rPr>
        <w:t xml:space="preserve">, </w:t>
      </w:r>
      <w:r w:rsidRPr="006A1C7A">
        <w:rPr>
          <w:rFonts w:ascii="Arial" w:hAnsi="Arial" w:cs="Arial"/>
          <w:i/>
          <w:iCs/>
          <w:sz w:val="22"/>
          <w:szCs w:val="22"/>
        </w:rPr>
        <w:t>Land Court Act 2000</w:t>
      </w:r>
      <w:r w:rsidRPr="006A1C7A">
        <w:rPr>
          <w:rFonts w:ascii="Arial" w:hAnsi="Arial" w:cs="Arial"/>
          <w:iCs/>
          <w:sz w:val="22"/>
          <w:szCs w:val="22"/>
        </w:rPr>
        <w:t xml:space="preserve">, </w:t>
      </w:r>
      <w:r w:rsidR="00334AB3" w:rsidRPr="006A1C7A">
        <w:rPr>
          <w:rFonts w:ascii="Arial" w:hAnsi="Arial" w:cs="Arial"/>
          <w:i/>
          <w:iCs/>
          <w:sz w:val="22"/>
          <w:szCs w:val="22"/>
        </w:rPr>
        <w:t>Solicitor</w:t>
      </w:r>
      <w:r w:rsidRPr="006A1C7A">
        <w:rPr>
          <w:rFonts w:ascii="Arial" w:hAnsi="Arial" w:cs="Arial"/>
          <w:i/>
          <w:iCs/>
          <w:sz w:val="22"/>
          <w:szCs w:val="22"/>
        </w:rPr>
        <w:t>-General Act 1985</w:t>
      </w:r>
      <w:r w:rsidRPr="006A1C7A">
        <w:rPr>
          <w:rFonts w:ascii="Arial" w:hAnsi="Arial" w:cs="Arial"/>
          <w:iCs/>
          <w:sz w:val="22"/>
          <w:szCs w:val="22"/>
        </w:rPr>
        <w:t xml:space="preserve"> and </w:t>
      </w:r>
      <w:r w:rsidRPr="006A1C7A">
        <w:rPr>
          <w:rFonts w:ascii="Arial" w:hAnsi="Arial" w:cs="Arial"/>
          <w:i/>
          <w:iCs/>
          <w:sz w:val="22"/>
          <w:szCs w:val="22"/>
        </w:rPr>
        <w:t>Supreme Court Act 1995</w:t>
      </w:r>
      <w:r w:rsidRPr="006A1C7A">
        <w:rPr>
          <w:rFonts w:ascii="Arial" w:hAnsi="Arial" w:cs="Arial"/>
          <w:iCs/>
          <w:sz w:val="22"/>
          <w:szCs w:val="22"/>
        </w:rPr>
        <w:t xml:space="preserve"> to </w:t>
      </w:r>
      <w:r w:rsidRPr="006A1C7A">
        <w:rPr>
          <w:rFonts w:ascii="Arial" w:hAnsi="Arial" w:cs="Arial"/>
          <w:sz w:val="22"/>
          <w:szCs w:val="22"/>
        </w:rPr>
        <w:t xml:space="preserve">streamline long leave approvals for persons (including members of the Queensland Industrial Relations Commission) </w:t>
      </w:r>
      <w:r w:rsidRPr="006A1C7A">
        <w:rPr>
          <w:rFonts w:ascii="Arial" w:hAnsi="Arial" w:cs="Arial"/>
          <w:iCs/>
          <w:sz w:val="22"/>
          <w:szCs w:val="22"/>
        </w:rPr>
        <w:t xml:space="preserve">and the appointment of court staff/officers (other than the judiciary); </w:t>
      </w:r>
    </w:p>
    <w:p w:rsidR="006A1C7A" w:rsidRPr="006A1C7A" w:rsidRDefault="006A1C7A" w:rsidP="00334AB3">
      <w:pPr>
        <w:numPr>
          <w:ilvl w:val="0"/>
          <w:numId w:val="13"/>
        </w:numPr>
        <w:spacing w:before="240"/>
        <w:jc w:val="both"/>
        <w:rPr>
          <w:rFonts w:ascii="Arial" w:hAnsi="Arial" w:cs="Arial"/>
          <w:sz w:val="22"/>
          <w:szCs w:val="22"/>
        </w:rPr>
      </w:pPr>
      <w:r w:rsidRPr="006A1C7A">
        <w:rPr>
          <w:rFonts w:ascii="Arial" w:hAnsi="Arial" w:cs="Arial"/>
          <w:sz w:val="22"/>
          <w:szCs w:val="22"/>
        </w:rPr>
        <w:t xml:space="preserve">amend the </w:t>
      </w:r>
      <w:r w:rsidRPr="006A1C7A">
        <w:rPr>
          <w:rFonts w:ascii="Arial" w:hAnsi="Arial" w:cs="Arial"/>
          <w:i/>
          <w:sz w:val="22"/>
          <w:szCs w:val="22"/>
        </w:rPr>
        <w:t>Recording of Evidence Act 1962</w:t>
      </w:r>
      <w:r w:rsidRPr="006A1C7A">
        <w:rPr>
          <w:rFonts w:ascii="Arial" w:hAnsi="Arial" w:cs="Arial"/>
          <w:sz w:val="22"/>
          <w:szCs w:val="22"/>
        </w:rPr>
        <w:t xml:space="preserve"> in relation to continuous court recording</w:t>
      </w:r>
      <w:r w:rsidR="00334AB3">
        <w:rPr>
          <w:rFonts w:ascii="Arial" w:hAnsi="Arial" w:cs="Arial"/>
          <w:sz w:val="22"/>
          <w:szCs w:val="22"/>
        </w:rPr>
        <w:t xml:space="preserve"> </w:t>
      </w:r>
      <w:r w:rsidR="00334AB3" w:rsidRPr="006A1C7A">
        <w:rPr>
          <w:rFonts w:ascii="Arial" w:hAnsi="Arial" w:cs="Arial"/>
          <w:sz w:val="22"/>
          <w:szCs w:val="22"/>
        </w:rPr>
        <w:t>to prohibit access to out-of-session recordings</w:t>
      </w:r>
      <w:r w:rsidR="002D6D53">
        <w:rPr>
          <w:rFonts w:ascii="Arial" w:hAnsi="Arial" w:cs="Arial"/>
          <w:sz w:val="22"/>
          <w:szCs w:val="22"/>
        </w:rPr>
        <w:t>; and</w:t>
      </w:r>
    </w:p>
    <w:p w:rsidR="006A1C7A" w:rsidRPr="006A1C7A" w:rsidRDefault="002D6D53" w:rsidP="006A1C7A">
      <w:pPr>
        <w:numPr>
          <w:ilvl w:val="0"/>
          <w:numId w:val="13"/>
        </w:numPr>
        <w:tabs>
          <w:tab w:val="num" w:pos="360"/>
        </w:tabs>
        <w:spacing w:before="240"/>
        <w:jc w:val="both"/>
        <w:rPr>
          <w:rFonts w:ascii="Arial" w:hAnsi="Arial" w:cs="Arial"/>
          <w:sz w:val="22"/>
          <w:szCs w:val="22"/>
        </w:rPr>
      </w:pPr>
      <w:r>
        <w:rPr>
          <w:rFonts w:ascii="Arial" w:hAnsi="Arial" w:cs="Arial"/>
          <w:sz w:val="22"/>
          <w:szCs w:val="22"/>
        </w:rPr>
        <w:t>amend</w:t>
      </w:r>
      <w:r w:rsidR="006A1C7A" w:rsidRPr="006A1C7A">
        <w:rPr>
          <w:rFonts w:ascii="Arial" w:hAnsi="Arial" w:cs="Arial"/>
          <w:sz w:val="22"/>
          <w:szCs w:val="22"/>
        </w:rPr>
        <w:t xml:space="preserve"> the </w:t>
      </w:r>
      <w:r w:rsidR="006A1C7A" w:rsidRPr="006A1C7A">
        <w:rPr>
          <w:rFonts w:ascii="Arial" w:hAnsi="Arial" w:cs="Arial"/>
          <w:i/>
          <w:sz w:val="22"/>
          <w:szCs w:val="22"/>
        </w:rPr>
        <w:t>Civil Liability Act 2003</w:t>
      </w:r>
      <w:r w:rsidR="00334AB3">
        <w:rPr>
          <w:rFonts w:ascii="Arial" w:hAnsi="Arial" w:cs="Arial"/>
          <w:i/>
          <w:sz w:val="22"/>
          <w:szCs w:val="22"/>
        </w:rPr>
        <w:t xml:space="preserve"> </w:t>
      </w:r>
      <w:r w:rsidR="00334AB3">
        <w:rPr>
          <w:rFonts w:ascii="Arial" w:hAnsi="Arial" w:cs="Arial"/>
          <w:sz w:val="22"/>
          <w:szCs w:val="22"/>
        </w:rPr>
        <w:t>to</w:t>
      </w:r>
      <w:r w:rsidR="006A1C7A" w:rsidRPr="006A1C7A">
        <w:rPr>
          <w:rFonts w:ascii="Arial" w:hAnsi="Arial" w:cs="Arial"/>
          <w:sz w:val="22"/>
          <w:szCs w:val="22"/>
        </w:rPr>
        <w:t xml:space="preserve"> clarify that the protection from liability provided to food donors in section 39(2) applies to all persons (individuals as well as corporations, organisations, entities etc); and extend the application of the provisions to food donor distributors (i.e. organisations that collect food from food donors and re-distribute it to other organisations that provide it to the homeless, needy and disadvantaged). </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7C008D">
        <w:rPr>
          <w:rFonts w:ascii="Arial" w:hAnsi="Arial" w:cs="Arial"/>
          <w:sz w:val="22"/>
          <w:szCs w:val="22"/>
        </w:rPr>
        <w:t xml:space="preserve">that </w:t>
      </w:r>
      <w:r w:rsidR="00141951" w:rsidRPr="00141951">
        <w:rPr>
          <w:rFonts w:ascii="Arial" w:hAnsi="Arial" w:cs="Arial"/>
          <w:sz w:val="22"/>
          <w:szCs w:val="22"/>
        </w:rPr>
        <w:t xml:space="preserve">the </w:t>
      </w:r>
      <w:r w:rsidR="00141951" w:rsidRPr="00613E8C">
        <w:rPr>
          <w:rFonts w:ascii="Arial" w:hAnsi="Arial" w:cs="Arial"/>
          <w:sz w:val="22"/>
          <w:szCs w:val="22"/>
        </w:rPr>
        <w:t>Justice and Other Legislation Amendment Bill 2008</w:t>
      </w:r>
      <w:r w:rsidR="00141951" w:rsidRPr="00141951">
        <w:rPr>
          <w:rFonts w:ascii="Arial" w:hAnsi="Arial" w:cs="Arial"/>
          <w:sz w:val="22"/>
          <w:szCs w:val="22"/>
        </w:rPr>
        <w:t xml:space="preserve"> be introduced into the Legislative Assembly</w:t>
      </w:r>
      <w:r w:rsidR="00141951">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EA00BF" w:rsidRPr="00C07656" w:rsidRDefault="006E0AEB" w:rsidP="00970B60">
      <w:pPr>
        <w:numPr>
          <w:ilvl w:val="0"/>
          <w:numId w:val="8"/>
        </w:numPr>
        <w:spacing w:before="120"/>
        <w:ind w:left="811"/>
        <w:jc w:val="both"/>
        <w:rPr>
          <w:rFonts w:ascii="Arial" w:hAnsi="Arial" w:cs="Arial"/>
          <w:sz w:val="22"/>
          <w:szCs w:val="22"/>
        </w:rPr>
      </w:pPr>
      <w:hyperlink r:id="rId7" w:history="1">
        <w:r w:rsidR="00613E8C" w:rsidRPr="00467530">
          <w:rPr>
            <w:rStyle w:val="Hyperlink"/>
            <w:rFonts w:ascii="Arial" w:hAnsi="Arial" w:cs="Arial"/>
            <w:sz w:val="22"/>
            <w:szCs w:val="22"/>
          </w:rPr>
          <w:t>Justice and Other Legislation Amendment Bill 2008</w:t>
        </w:r>
      </w:hyperlink>
    </w:p>
    <w:p w:rsidR="006D0869" w:rsidRPr="00C07656" w:rsidRDefault="006E0AEB" w:rsidP="00970B60">
      <w:pPr>
        <w:numPr>
          <w:ilvl w:val="0"/>
          <w:numId w:val="8"/>
        </w:numPr>
        <w:spacing w:before="120"/>
        <w:ind w:left="811"/>
        <w:jc w:val="both"/>
        <w:rPr>
          <w:rFonts w:ascii="Arial" w:hAnsi="Arial" w:cs="Arial"/>
          <w:sz w:val="22"/>
          <w:szCs w:val="22"/>
        </w:rPr>
      </w:pPr>
      <w:hyperlink r:id="rId8" w:history="1">
        <w:r w:rsidR="00613E8C" w:rsidRPr="00467530">
          <w:rPr>
            <w:rStyle w:val="Hyperlink"/>
            <w:rFonts w:ascii="Arial" w:hAnsi="Arial" w:cs="Arial"/>
            <w:sz w:val="22"/>
            <w:szCs w:val="22"/>
          </w:rPr>
          <w:t>Explanatory Notes</w:t>
        </w:r>
      </w:hyperlink>
    </w:p>
    <w:p w:rsidR="000B545C" w:rsidRPr="00C07656" w:rsidRDefault="000B545C">
      <w:pPr>
        <w:rPr>
          <w:rFonts w:ascii="Arial" w:hAnsi="Arial" w:cs="Arial"/>
          <w:sz w:val="22"/>
          <w:szCs w:val="22"/>
        </w:rPr>
      </w:pPr>
    </w:p>
    <w:p w:rsidR="000B545C" w:rsidRPr="00C07656" w:rsidRDefault="000B545C">
      <w:pPr>
        <w:rPr>
          <w:rFonts w:ascii="Arial" w:hAnsi="Arial" w:cs="Arial"/>
          <w:sz w:val="22"/>
          <w:szCs w:val="22"/>
        </w:rPr>
      </w:pPr>
    </w:p>
    <w:sectPr w:rsidR="000B545C" w:rsidRPr="00C07656" w:rsidSect="00644076">
      <w:headerReference w:type="default" r:id="rId9"/>
      <w:pgSz w:w="11907" w:h="16840" w:code="9"/>
      <w:pgMar w:top="1985" w:right="1418" w:bottom="907" w:left="1418" w:header="70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AD2" w:rsidRDefault="00E50AD2">
      <w:r>
        <w:separator/>
      </w:r>
    </w:p>
  </w:endnote>
  <w:endnote w:type="continuationSeparator" w:id="0">
    <w:p w:rsidR="00E50AD2" w:rsidRDefault="00E5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AD2" w:rsidRDefault="00E50AD2">
      <w:r>
        <w:separator/>
      </w:r>
    </w:p>
  </w:footnote>
  <w:footnote w:type="continuationSeparator" w:id="0">
    <w:p w:rsidR="00E50AD2" w:rsidRDefault="00E50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08D" w:rsidRPr="000400F9" w:rsidRDefault="00175CF4" w:rsidP="00467530">
    <w:pPr>
      <w:pStyle w:val="Header"/>
      <w:ind w:firstLine="2880"/>
      <w:rPr>
        <w:rFonts w:ascii="Arial" w:hAnsi="Arial" w:cs="Arial"/>
        <w:b/>
        <w:sz w:val="22"/>
        <w:szCs w:val="22"/>
        <w:u w:val="single"/>
      </w:rPr>
    </w:pPr>
    <w:r>
      <w:rPr>
        <w:rFonts w:ascii="Arial" w:hAnsi="Arial" w:cs="Arial"/>
        <w:b/>
        <w:noProof/>
        <w:sz w:val="22"/>
        <w:szCs w:val="22"/>
        <w:u w:val="single"/>
      </w:rPr>
      <w:drawing>
        <wp:anchor distT="0" distB="0" distL="114300" distR="114300" simplePos="0" relativeHeight="251657728" behindDoc="0" locked="0" layoutInCell="1" allowOverlap="1">
          <wp:simplePos x="0" y="0"/>
          <wp:positionH relativeFrom="column">
            <wp:posOffset>0</wp:posOffset>
          </wp:positionH>
          <wp:positionV relativeFrom="paragraph">
            <wp:posOffset>-218440</wp:posOffset>
          </wp:positionV>
          <wp:extent cx="1371600" cy="45720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pic:spPr>
              </pic:pic>
            </a:graphicData>
          </a:graphic>
          <wp14:sizeRelH relativeFrom="page">
            <wp14:pctWidth>0</wp14:pctWidth>
          </wp14:sizeRelH>
          <wp14:sizeRelV relativeFrom="page">
            <wp14:pctHeight>0</wp14:pctHeight>
          </wp14:sizeRelV>
        </wp:anchor>
      </w:drawing>
    </w:r>
    <w:r w:rsidR="007C008D" w:rsidRPr="000400F9">
      <w:rPr>
        <w:rFonts w:ascii="Arial" w:hAnsi="Arial" w:cs="Arial"/>
        <w:b/>
        <w:sz w:val="22"/>
        <w:szCs w:val="22"/>
        <w:u w:val="single"/>
      </w:rPr>
      <w:t xml:space="preserve">Cabinet – </w:t>
    </w:r>
    <w:r w:rsidR="007C008D">
      <w:rPr>
        <w:rFonts w:ascii="Arial" w:hAnsi="Arial" w:cs="Arial"/>
        <w:b/>
        <w:sz w:val="22"/>
        <w:szCs w:val="22"/>
        <w:u w:val="single"/>
      </w:rPr>
      <w:t>September 2008</w:t>
    </w:r>
  </w:p>
  <w:p w:rsidR="007C008D" w:rsidRDefault="007C008D" w:rsidP="000400F9">
    <w:pPr>
      <w:pStyle w:val="Header"/>
      <w:spacing w:before="120"/>
      <w:rPr>
        <w:rFonts w:ascii="Arial" w:hAnsi="Arial" w:cs="Arial"/>
        <w:b/>
        <w:sz w:val="22"/>
        <w:szCs w:val="22"/>
        <w:u w:val="single"/>
      </w:rPr>
    </w:pPr>
    <w:r w:rsidRPr="001729A8">
      <w:rPr>
        <w:rFonts w:ascii="Arial" w:hAnsi="Arial" w:cs="Arial"/>
        <w:b/>
        <w:sz w:val="22"/>
        <w:szCs w:val="22"/>
        <w:u w:val="single"/>
      </w:rPr>
      <w:t>Justice and Other Legislation Amendment Bill 2008</w:t>
    </w:r>
  </w:p>
  <w:p w:rsidR="007C008D" w:rsidRDefault="007C008D" w:rsidP="00970B60">
    <w:pPr>
      <w:pStyle w:val="Header"/>
      <w:spacing w:before="120"/>
      <w:jc w:val="both"/>
      <w:rPr>
        <w:rFonts w:ascii="Arial" w:hAnsi="Arial" w:cs="Arial"/>
        <w:b/>
        <w:sz w:val="22"/>
        <w:szCs w:val="22"/>
        <w:u w:val="single"/>
      </w:rPr>
    </w:pPr>
    <w:r w:rsidRPr="00E74795">
      <w:rPr>
        <w:rFonts w:ascii="Arial" w:hAnsi="Arial" w:cs="Arial"/>
        <w:b/>
        <w:sz w:val="22"/>
        <w:szCs w:val="22"/>
        <w:u w:val="single"/>
      </w:rPr>
      <w:t xml:space="preserve">Attorney-General and Minister for Justice and Minister Assisting the Premier in </w:t>
    </w:r>
    <w:smartTag w:uri="urn:schemas-microsoft-com:office:smarttags" w:element="place">
      <w:r w:rsidRPr="00E74795">
        <w:rPr>
          <w:rFonts w:ascii="Arial" w:hAnsi="Arial" w:cs="Arial"/>
          <w:b/>
          <w:sz w:val="22"/>
          <w:szCs w:val="22"/>
          <w:u w:val="single"/>
        </w:rPr>
        <w:t>Western Queensland</w:t>
      </w:r>
    </w:smartTag>
  </w:p>
  <w:p w:rsidR="007C008D" w:rsidRPr="000400F9" w:rsidRDefault="007C008D" w:rsidP="000400F9">
    <w:pPr>
      <w:pStyle w:val="Header"/>
      <w:pBdr>
        <w:bottom w:val="single" w:sz="8"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94A37FD"/>
    <w:multiLevelType w:val="hybridMultilevel"/>
    <w:tmpl w:val="338494C4"/>
    <w:lvl w:ilvl="0" w:tplc="B7A0238C">
      <w:start w:val="1"/>
      <w:numFmt w:val="bullet"/>
      <w:lvlText w:val=""/>
      <w:lvlJc w:val="left"/>
      <w:pPr>
        <w:tabs>
          <w:tab w:val="num" w:pos="814"/>
        </w:tabs>
        <w:ind w:left="814" w:hanging="454"/>
      </w:pPr>
      <w:rPr>
        <w:rFonts w:ascii="Symbol" w:hAnsi="Symbol" w:hint="default"/>
        <w:color w:val="auto"/>
        <w:sz w:val="23"/>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27B5BDC"/>
    <w:multiLevelType w:val="hybridMultilevel"/>
    <w:tmpl w:val="99FE152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4"/>
  </w:num>
  <w:num w:numId="5">
    <w:abstractNumId w:val="1"/>
  </w:num>
  <w:num w:numId="6">
    <w:abstractNumId w:val="12"/>
  </w:num>
  <w:num w:numId="7">
    <w:abstractNumId w:val="11"/>
  </w:num>
  <w:num w:numId="8">
    <w:abstractNumId w:val="9"/>
  </w:num>
  <w:num w:numId="9">
    <w:abstractNumId w:val="8"/>
  </w:num>
  <w:num w:numId="10">
    <w:abstractNumId w:val="6"/>
  </w:num>
  <w:num w:numId="11">
    <w:abstractNumId w:val="5"/>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C8C"/>
    <w:rsid w:val="00021B34"/>
    <w:rsid w:val="000400F9"/>
    <w:rsid w:val="000B545C"/>
    <w:rsid w:val="00113F50"/>
    <w:rsid w:val="001141E1"/>
    <w:rsid w:val="00133013"/>
    <w:rsid w:val="00133A34"/>
    <w:rsid w:val="00141951"/>
    <w:rsid w:val="00144372"/>
    <w:rsid w:val="00160524"/>
    <w:rsid w:val="001729A8"/>
    <w:rsid w:val="00175CF4"/>
    <w:rsid w:val="00254E35"/>
    <w:rsid w:val="002660A7"/>
    <w:rsid w:val="0028053C"/>
    <w:rsid w:val="002D6D53"/>
    <w:rsid w:val="002F57E4"/>
    <w:rsid w:val="0032048B"/>
    <w:rsid w:val="0032321C"/>
    <w:rsid w:val="00334AB3"/>
    <w:rsid w:val="003448B1"/>
    <w:rsid w:val="00346156"/>
    <w:rsid w:val="00382380"/>
    <w:rsid w:val="003A269C"/>
    <w:rsid w:val="003C3732"/>
    <w:rsid w:val="003E17D1"/>
    <w:rsid w:val="003F3DC9"/>
    <w:rsid w:val="00435BE5"/>
    <w:rsid w:val="00467530"/>
    <w:rsid w:val="0048019C"/>
    <w:rsid w:val="00486A99"/>
    <w:rsid w:val="004E6C38"/>
    <w:rsid w:val="0056401D"/>
    <w:rsid w:val="005855EF"/>
    <w:rsid w:val="005A7828"/>
    <w:rsid w:val="005B1D9B"/>
    <w:rsid w:val="006100CC"/>
    <w:rsid w:val="00613E8C"/>
    <w:rsid w:val="00615DAE"/>
    <w:rsid w:val="00636C8C"/>
    <w:rsid w:val="00644076"/>
    <w:rsid w:val="006631CF"/>
    <w:rsid w:val="006A1C7A"/>
    <w:rsid w:val="006B3B54"/>
    <w:rsid w:val="006D0869"/>
    <w:rsid w:val="006E0AEB"/>
    <w:rsid w:val="006E6713"/>
    <w:rsid w:val="007060D7"/>
    <w:rsid w:val="00726F36"/>
    <w:rsid w:val="007A25F4"/>
    <w:rsid w:val="007A6599"/>
    <w:rsid w:val="007C008D"/>
    <w:rsid w:val="007F52D6"/>
    <w:rsid w:val="0082040E"/>
    <w:rsid w:val="00845D3E"/>
    <w:rsid w:val="008A5F1B"/>
    <w:rsid w:val="008B7E17"/>
    <w:rsid w:val="008F44CD"/>
    <w:rsid w:val="00922A5B"/>
    <w:rsid w:val="00970B60"/>
    <w:rsid w:val="009A21B8"/>
    <w:rsid w:val="009D0C12"/>
    <w:rsid w:val="009E3DBB"/>
    <w:rsid w:val="009F5476"/>
    <w:rsid w:val="00A20C0E"/>
    <w:rsid w:val="00A30F55"/>
    <w:rsid w:val="00AA128C"/>
    <w:rsid w:val="00AB6637"/>
    <w:rsid w:val="00AE1995"/>
    <w:rsid w:val="00B40BDF"/>
    <w:rsid w:val="00B50C04"/>
    <w:rsid w:val="00C07656"/>
    <w:rsid w:val="00C1623D"/>
    <w:rsid w:val="00C85B71"/>
    <w:rsid w:val="00C9494B"/>
    <w:rsid w:val="00CA655B"/>
    <w:rsid w:val="00CC2BC1"/>
    <w:rsid w:val="00CE6FBA"/>
    <w:rsid w:val="00DD2C55"/>
    <w:rsid w:val="00DD3CD5"/>
    <w:rsid w:val="00DD497C"/>
    <w:rsid w:val="00DD7040"/>
    <w:rsid w:val="00E16816"/>
    <w:rsid w:val="00E463C2"/>
    <w:rsid w:val="00E50AD2"/>
    <w:rsid w:val="00E74795"/>
    <w:rsid w:val="00EA00BF"/>
    <w:rsid w:val="00EB2BC7"/>
    <w:rsid w:val="00EE44BE"/>
    <w:rsid w:val="00F756F8"/>
    <w:rsid w:val="00FA3631"/>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467530"/>
    <w:rPr>
      <w:color w:val="0000FF"/>
      <w:u w:val="single"/>
    </w:rPr>
  </w:style>
  <w:style w:type="character" w:styleId="FollowedHyperlink">
    <w:name w:val="FollowedHyperlink"/>
    <w:basedOn w:val="DefaultParagraphFont"/>
    <w:rsid w:val="00467530"/>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Justice%20and%20Other%20Legislation%20Amendment%20Bill%20EXNOTES.pdf" TargetMode="External"/><Relationship Id="rId3" Type="http://schemas.openxmlformats.org/officeDocument/2006/relationships/settings" Target="settings.xml"/><Relationship Id="rId7" Type="http://schemas.openxmlformats.org/officeDocument/2006/relationships/hyperlink" Target="attachments/Justice%20and%20Other%20Legislation%20Amendment%20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1871</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2187</CharactersWithSpaces>
  <SharedDoc>false</SharedDoc>
  <HyperlinkBase>https://www.cabinet.qld.gov.au/documents/2008/Sep/justice bill 2008/</HyperlinkBase>
  <HLinks>
    <vt:vector size="12" baseType="variant">
      <vt:variant>
        <vt:i4>1703962</vt:i4>
      </vt:variant>
      <vt:variant>
        <vt:i4>3</vt:i4>
      </vt:variant>
      <vt:variant>
        <vt:i4>0</vt:i4>
      </vt:variant>
      <vt:variant>
        <vt:i4>5</vt:i4>
      </vt:variant>
      <vt:variant>
        <vt:lpwstr>attachments/Justice and Other Legislation Amendment Bill EXNOTES.pdf</vt:lpwstr>
      </vt:variant>
      <vt:variant>
        <vt:lpwstr/>
      </vt:variant>
      <vt:variant>
        <vt:i4>1441864</vt:i4>
      </vt:variant>
      <vt:variant>
        <vt:i4>0</vt:i4>
      </vt:variant>
      <vt:variant>
        <vt:i4>0</vt:i4>
      </vt:variant>
      <vt:variant>
        <vt:i4>5</vt:i4>
      </vt:variant>
      <vt:variant>
        <vt:lpwstr>attachments/Justice and Other Legislation Amendment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2008-11-18T02:56:00Z</cp:lastPrinted>
  <dcterms:created xsi:type="dcterms:W3CDTF">2017-10-24T07:47:00Z</dcterms:created>
  <dcterms:modified xsi:type="dcterms:W3CDTF">2018-03-06T00:54:00Z</dcterms:modified>
  <cp:category>Justice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459423636</vt:i4>
  </property>
  <property fmtid="{D5CDD505-2E9C-101B-9397-08002B2CF9AE}" pid="3" name="_NewReviewCycle">
    <vt:lpwstr/>
  </property>
  <property fmtid="{D5CDD505-2E9C-101B-9397-08002B2CF9AE}" pid="4" name="_PreviousAdHocReviewCycleID">
    <vt:i4>-600253655</vt:i4>
  </property>
  <property fmtid="{D5CDD505-2E9C-101B-9397-08002B2CF9AE}" pid="5" name="_ReviewingToolsShownOnce">
    <vt:lpwstr/>
  </property>
</Properties>
</file>